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756" w:tblpY="-225"/>
        <w:tblW w:w="5883" w:type="pct"/>
        <w:tblLook w:val="00A0" w:firstRow="1" w:lastRow="0" w:firstColumn="1" w:lastColumn="0" w:noHBand="0" w:noVBand="0"/>
      </w:tblPr>
      <w:tblGrid>
        <w:gridCol w:w="1627"/>
        <w:gridCol w:w="1506"/>
        <w:gridCol w:w="1892"/>
        <w:gridCol w:w="4920"/>
        <w:gridCol w:w="1056"/>
      </w:tblGrid>
      <w:tr w:rsidR="00B13B0A" w:rsidRPr="00D540BD" w:rsidTr="00EC0D71">
        <w:trPr>
          <w:trHeight w:val="360"/>
        </w:trPr>
        <w:tc>
          <w:tcPr>
            <w:tcW w:w="740" w:type="pct"/>
            <w:hideMark/>
          </w:tcPr>
          <w:p w:rsidR="00B13B0A" w:rsidRPr="00B13B0A" w:rsidRDefault="00B13B0A" w:rsidP="00EC0D7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3B0A">
              <w:rPr>
                <w:rFonts w:ascii="Times New Roman" w:hAnsi="Times New Roman"/>
                <w:b/>
                <w:sz w:val="18"/>
                <w:szCs w:val="18"/>
              </w:rPr>
              <w:t>Immune defense measured</w:t>
            </w:r>
          </w:p>
        </w:tc>
        <w:tc>
          <w:tcPr>
            <w:tcW w:w="685" w:type="pct"/>
            <w:hideMark/>
          </w:tcPr>
          <w:p w:rsidR="00B13B0A" w:rsidRPr="00B13B0A" w:rsidRDefault="00B13B0A" w:rsidP="00EC0D7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3B0A">
              <w:rPr>
                <w:rFonts w:ascii="Times New Roman" w:hAnsi="Times New Roman"/>
                <w:b/>
                <w:sz w:val="18"/>
                <w:szCs w:val="18"/>
              </w:rPr>
              <w:t>Component</w:t>
            </w:r>
          </w:p>
        </w:tc>
        <w:tc>
          <w:tcPr>
            <w:tcW w:w="860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b/>
                <w:bCs/>
                <w:sz w:val="18"/>
                <w:szCs w:val="18"/>
              </w:rPr>
              <w:t>Assay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2236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b/>
                <w:bCs/>
                <w:sz w:val="18"/>
                <w:szCs w:val="18"/>
              </w:rPr>
              <w:t>Immunological background</w:t>
            </w:r>
          </w:p>
        </w:tc>
        <w:tc>
          <w:tcPr>
            <w:tcW w:w="479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b/>
                <w:bCs/>
                <w:sz w:val="18"/>
                <w:szCs w:val="18"/>
              </w:rPr>
              <w:t>Ref (s)</w:t>
            </w:r>
          </w:p>
        </w:tc>
      </w:tr>
      <w:tr w:rsidR="000E4ED8" w:rsidRPr="00D540BD" w:rsidTr="004112EA">
        <w:trPr>
          <w:trHeight w:val="1394"/>
        </w:trPr>
        <w:tc>
          <w:tcPr>
            <w:tcW w:w="740" w:type="pct"/>
            <w:vMerge w:val="restart"/>
            <w:shd w:val="clear" w:color="auto" w:fill="D9D9D9" w:themeFill="background1" w:themeFillShade="D9"/>
            <w:hideMark/>
          </w:tcPr>
          <w:p w:rsidR="000E4ED8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Constitutive Innate </w:t>
            </w:r>
          </w:p>
          <w:p w:rsidR="000E4ED8" w:rsidRPr="004112EA" w:rsidRDefault="000E4ED8" w:rsidP="00EC0D7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12EA">
              <w:rPr>
                <w:rFonts w:ascii="Times New Roman" w:hAnsi="Times New Roman"/>
                <w:i/>
                <w:sz w:val="18"/>
                <w:szCs w:val="18"/>
              </w:rPr>
              <w:t>BASELINE</w:t>
            </w:r>
          </w:p>
        </w:tc>
        <w:tc>
          <w:tcPr>
            <w:tcW w:w="685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NAb</w:t>
            </w:r>
            <w:proofErr w:type="spellEnd"/>
            <w:r w:rsidRPr="00D540BD">
              <w:rPr>
                <w:rFonts w:ascii="Times New Roman" w:hAnsi="Times New Roman"/>
                <w:sz w:val="18"/>
                <w:szCs w:val="18"/>
              </w:rPr>
              <w:t xml:space="preserve"> – Complement activity</w:t>
            </w:r>
          </w:p>
        </w:tc>
        <w:tc>
          <w:tcPr>
            <w:tcW w:w="860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Hemolysis-Hemagglutination </w:t>
            </w:r>
          </w:p>
        </w:tc>
        <w:tc>
          <w:tcPr>
            <w:tcW w:w="2236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Part of the innate immune system, but can be recruited by the adaptive system. C5b </w:t>
            </w:r>
            <w:proofErr w:type="spellStart"/>
            <w:r w:rsidRPr="00D540BD">
              <w:rPr>
                <w:rFonts w:ascii="Times New Roman" w:hAnsi="Times New Roman"/>
                <w:sz w:val="18"/>
                <w:szCs w:val="18"/>
              </w:rPr>
              <w:t>initates</w:t>
            </w:r>
            <w:proofErr w:type="spellEnd"/>
            <w:r w:rsidRPr="00D540BD">
              <w:rPr>
                <w:rFonts w:ascii="Times New Roman" w:hAnsi="Times New Roman"/>
                <w:sz w:val="18"/>
                <w:szCs w:val="18"/>
              </w:rPr>
              <w:t xml:space="preserve"> the membrane attack pathway which causes lysis of the target cell. Macrophages then clear the complement coated cells. </w:t>
            </w:r>
            <w:proofErr w:type="spellStart"/>
            <w:r w:rsidRPr="00D540BD">
              <w:rPr>
                <w:rFonts w:ascii="Times New Roman" w:hAnsi="Times New Roman"/>
                <w:sz w:val="18"/>
                <w:szCs w:val="18"/>
              </w:rPr>
              <w:t>Haemagglutination</w:t>
            </w:r>
            <w:proofErr w:type="spellEnd"/>
            <w:r w:rsidRPr="00D540BD">
              <w:rPr>
                <w:rFonts w:ascii="Times New Roman" w:hAnsi="Times New Roman"/>
                <w:sz w:val="18"/>
                <w:szCs w:val="18"/>
              </w:rPr>
              <w:t xml:space="preserve"> – tests for natural antibody (</w:t>
            </w:r>
            <w:proofErr w:type="spellStart"/>
            <w:r w:rsidRPr="00D540BD">
              <w:rPr>
                <w:rFonts w:ascii="Times New Roman" w:hAnsi="Times New Roman"/>
                <w:sz w:val="18"/>
                <w:szCs w:val="18"/>
              </w:rPr>
              <w:t>NAb</w:t>
            </w:r>
            <w:proofErr w:type="spellEnd"/>
            <w:r w:rsidRPr="00D540BD">
              <w:rPr>
                <w:rFonts w:ascii="Times New Roman" w:hAnsi="Times New Roman"/>
                <w:sz w:val="18"/>
                <w:szCs w:val="18"/>
              </w:rPr>
              <w:t>) activity. Agglutination will occur if the antibody binds to a molecule present on the surface of RBCs.</w:t>
            </w:r>
          </w:p>
        </w:tc>
        <w:tc>
          <w:tcPr>
            <w:tcW w:w="479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Matson et al. 2005</w:t>
            </w:r>
          </w:p>
        </w:tc>
      </w:tr>
      <w:tr w:rsidR="000E4ED8" w:rsidRPr="00D540BD" w:rsidTr="004112EA">
        <w:trPr>
          <w:trHeight w:val="710"/>
        </w:trPr>
        <w:tc>
          <w:tcPr>
            <w:tcW w:w="740" w:type="pct"/>
            <w:vMerge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Complement activity</w:t>
            </w:r>
          </w:p>
        </w:tc>
        <w:tc>
          <w:tcPr>
            <w:tcW w:w="860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Complement-mediated lysis</w:t>
            </w:r>
          </w:p>
        </w:tc>
        <w:tc>
          <w:tcPr>
            <w:tcW w:w="2236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Complement is an innate function, but also a strong bridge between innate and adaptive systems. Assesses the ability of complement to lyse foreign blood cells.</w:t>
            </w:r>
          </w:p>
        </w:tc>
        <w:tc>
          <w:tcPr>
            <w:tcW w:w="479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O’Neal and </w:t>
            </w:r>
            <w:proofErr w:type="spellStart"/>
            <w:r w:rsidRPr="00D540BD">
              <w:rPr>
                <w:rFonts w:ascii="Times New Roman" w:hAnsi="Times New Roman"/>
                <w:sz w:val="18"/>
                <w:szCs w:val="18"/>
              </w:rPr>
              <w:t>Ketterson</w:t>
            </w:r>
            <w:proofErr w:type="spellEnd"/>
            <w:r w:rsidRPr="00D540BD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</w:p>
        </w:tc>
      </w:tr>
      <w:tr w:rsidR="000E4ED8" w:rsidRPr="00D540BD" w:rsidTr="004112EA">
        <w:trPr>
          <w:trHeight w:val="719"/>
        </w:trPr>
        <w:tc>
          <w:tcPr>
            <w:tcW w:w="740" w:type="pct"/>
            <w:vMerge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White blood cell counts (differentials)</w:t>
            </w:r>
          </w:p>
        </w:tc>
        <w:tc>
          <w:tcPr>
            <w:tcW w:w="860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Blood smears </w:t>
            </w:r>
          </w:p>
        </w:tc>
        <w:tc>
          <w:tcPr>
            <w:tcW w:w="2236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Need only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very</w:t>
            </w:r>
            <w:r w:rsidRPr="00D540BD">
              <w:rPr>
                <w:rFonts w:ascii="Times New Roman" w:hAnsi="Times New Roman"/>
                <w:sz w:val="18"/>
                <w:szCs w:val="18"/>
              </w:rPr>
              <w:t xml:space="preserve"> small blood sample. Can test for differences in total WBC, individual WBCs or H:L ratio. H:L ratio is less sensitive to short-term stress.</w:t>
            </w:r>
          </w:p>
        </w:tc>
        <w:tc>
          <w:tcPr>
            <w:tcW w:w="479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 </w:t>
            </w:r>
            <w:r w:rsidR="00574D1C">
              <w:rPr>
                <w:rFonts w:ascii="Times New Roman" w:hAnsi="Times New Roman"/>
                <w:sz w:val="18"/>
                <w:szCs w:val="18"/>
              </w:rPr>
              <w:t>Owen et al. 2011</w:t>
            </w:r>
          </w:p>
        </w:tc>
      </w:tr>
      <w:tr w:rsidR="000E4ED8" w:rsidRPr="00D540BD" w:rsidTr="004112EA">
        <w:trPr>
          <w:trHeight w:val="1080"/>
        </w:trPr>
        <w:tc>
          <w:tcPr>
            <w:tcW w:w="740" w:type="pct"/>
            <w:vMerge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Plasma lysozyme </w:t>
            </w:r>
          </w:p>
        </w:tc>
        <w:tc>
          <w:tcPr>
            <w:tcW w:w="860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Optical density measurements of the antimicrobial activity of plasma lysozyme</w:t>
            </w:r>
          </w:p>
        </w:tc>
        <w:tc>
          <w:tcPr>
            <w:tcW w:w="2236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Lysozymes are enzymes that damage bacterial cell walls and cause hydrolysis. Lysozymes are part of the innate immune system and reduced levels have been associated with some diseases.</w:t>
            </w:r>
          </w:p>
        </w:tc>
        <w:tc>
          <w:tcPr>
            <w:tcW w:w="479" w:type="pct"/>
            <w:shd w:val="clear" w:color="auto" w:fill="D9D9D9" w:themeFill="background1" w:themeFillShade="D9"/>
            <w:hideMark/>
          </w:tcPr>
          <w:p w:rsidR="000E4ED8" w:rsidRPr="00D540BD" w:rsidRDefault="000E4ED8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Millet et al. 2007</w:t>
            </w:r>
          </w:p>
        </w:tc>
      </w:tr>
      <w:tr w:rsidR="000E4ED8" w:rsidRPr="00D540BD" w:rsidTr="004112EA">
        <w:trPr>
          <w:trHeight w:val="1080"/>
        </w:trPr>
        <w:tc>
          <w:tcPr>
            <w:tcW w:w="740" w:type="pct"/>
            <w:vMerge/>
            <w:shd w:val="clear" w:color="auto" w:fill="D9D9D9" w:themeFill="background1" w:themeFillShade="D9"/>
          </w:tcPr>
          <w:p w:rsidR="000E4ED8" w:rsidRPr="00D540BD" w:rsidRDefault="000E4ED8" w:rsidP="00EC0D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D9D9D9" w:themeFill="background1" w:themeFillShade="D9"/>
          </w:tcPr>
          <w:p w:rsidR="000E4ED8" w:rsidRPr="00D540BD" w:rsidRDefault="000E4ED8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Bacterial killing ability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0E4ED8" w:rsidRPr="00D540BD" w:rsidRDefault="000E4ED8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Bacterial killing assay (BKA)</w:t>
            </w:r>
          </w:p>
        </w:tc>
        <w:tc>
          <w:tcPr>
            <w:tcW w:w="2236" w:type="pct"/>
            <w:shd w:val="clear" w:color="auto" w:fill="D9D9D9" w:themeFill="background1" w:themeFillShade="D9"/>
          </w:tcPr>
          <w:p w:rsidR="000E4ED8" w:rsidRPr="00D540BD" w:rsidRDefault="000E4ED8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Considered a ‘course assay’ of innate immunity. Assesses the ability of immune factors in the blood to kill bacteria or yeast (usually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Ecoli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). Can be difficult to optimize. More plaque formations=less killing. Can use whole blood or plasma (just changes the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Ecoli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form you use).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0E4ED8" w:rsidRDefault="000E4ED8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Millet et al. 2006;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Ardia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</w:p>
        </w:tc>
      </w:tr>
      <w:tr w:rsidR="00B13B0A" w:rsidRPr="00D540BD" w:rsidTr="00EC0D71">
        <w:trPr>
          <w:trHeight w:val="1142"/>
        </w:trPr>
        <w:tc>
          <w:tcPr>
            <w:tcW w:w="740" w:type="pct"/>
            <w:vMerge w:val="restar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Induced Innate</w:t>
            </w:r>
          </w:p>
        </w:tc>
        <w:tc>
          <w:tcPr>
            <w:tcW w:w="685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Acute phase response Fever</w:t>
            </w:r>
          </w:p>
        </w:tc>
        <w:tc>
          <w:tcPr>
            <w:tcW w:w="860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Cloacal temperature following injection with lipopolysaccharide (LPS)</w:t>
            </w:r>
          </w:p>
        </w:tc>
        <w:tc>
          <w:tcPr>
            <w:tcW w:w="2236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Indicates a fever response to the LPS injection. Fever could lead to the production of reactive oxygen species, ultimately causing immune-pathological tissue damage. LPS is lipopolysaccharide is an endotoxin (found in gram negative </w:t>
            </w:r>
            <w:proofErr w:type="spellStart"/>
            <w:r w:rsidRPr="00D540BD">
              <w:rPr>
                <w:rFonts w:ascii="Times New Roman" w:hAnsi="Times New Roman"/>
                <w:sz w:val="18"/>
                <w:szCs w:val="18"/>
              </w:rPr>
              <w:t>bacterias</w:t>
            </w:r>
            <w:proofErr w:type="spellEnd"/>
            <w:r w:rsidRPr="00D540BD">
              <w:rPr>
                <w:rFonts w:ascii="Times New Roman" w:hAnsi="Times New Roman"/>
                <w:sz w:val="18"/>
                <w:szCs w:val="18"/>
              </w:rPr>
              <w:t>) and elicit strong immune responses.</w:t>
            </w:r>
          </w:p>
        </w:tc>
        <w:tc>
          <w:tcPr>
            <w:tcW w:w="479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Coon et al. 2011</w:t>
            </w:r>
          </w:p>
        </w:tc>
      </w:tr>
      <w:tr w:rsidR="00B13B0A" w:rsidRPr="00D540BD" w:rsidTr="00EC0D71">
        <w:trPr>
          <w:trHeight w:val="1032"/>
        </w:trPr>
        <w:tc>
          <w:tcPr>
            <w:tcW w:w="740" w:type="pct"/>
            <w:vMerge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Acute phase protein-Haptoglobin</w:t>
            </w:r>
          </w:p>
        </w:tc>
        <w:tc>
          <w:tcPr>
            <w:tcW w:w="860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Plasma haptoglobin or mannan-binding protein following injection with LPS</w:t>
            </w:r>
          </w:p>
        </w:tc>
        <w:tc>
          <w:tcPr>
            <w:tcW w:w="2236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Acute phase proteins are synthesized in the liver and generally increase after infection as part of the systemic inflammatory response. The acute-phase proteins play a role in the early innate immune response.</w:t>
            </w:r>
          </w:p>
        </w:tc>
        <w:tc>
          <w:tcPr>
            <w:tcW w:w="479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Millet et al. 2007</w:t>
            </w:r>
          </w:p>
        </w:tc>
      </w:tr>
      <w:tr w:rsidR="00B13B0A" w:rsidRPr="00D540BD" w:rsidTr="004112EA">
        <w:trPr>
          <w:trHeight w:val="674"/>
        </w:trPr>
        <w:tc>
          <w:tcPr>
            <w:tcW w:w="740" w:type="pct"/>
            <w:shd w:val="clear" w:color="auto" w:fill="D9D9D9" w:themeFill="background1" w:themeFillShade="D9"/>
            <w:hideMark/>
          </w:tcPr>
          <w:p w:rsidR="00B13B0A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Constitutive Adaptive</w:t>
            </w:r>
          </w:p>
          <w:p w:rsidR="004112EA" w:rsidRPr="004112EA" w:rsidRDefault="004112EA" w:rsidP="00EC0D7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12EA">
              <w:rPr>
                <w:rFonts w:ascii="Times New Roman" w:hAnsi="Times New Roman"/>
                <w:i/>
                <w:sz w:val="18"/>
                <w:szCs w:val="18"/>
              </w:rPr>
              <w:t>BASELINE</w:t>
            </w:r>
          </w:p>
        </w:tc>
        <w:tc>
          <w:tcPr>
            <w:tcW w:w="685" w:type="pct"/>
            <w:shd w:val="clear" w:color="auto" w:fill="D9D9D9" w:themeFill="background1" w:themeFillShade="D9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Total IgG</w:t>
            </w:r>
          </w:p>
        </w:tc>
        <w:tc>
          <w:tcPr>
            <w:tcW w:w="860" w:type="pct"/>
            <w:shd w:val="clear" w:color="auto" w:fill="D9D9D9" w:themeFill="background1" w:themeFillShade="D9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IgG Elisa</w:t>
            </w:r>
          </w:p>
        </w:tc>
        <w:tc>
          <w:tcPr>
            <w:tcW w:w="2236" w:type="pct"/>
            <w:shd w:val="clear" w:color="auto" w:fill="D9D9D9" w:themeFill="background1" w:themeFillShade="D9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Nonspecific antibody response which is indicative of a specific antibody response.</w:t>
            </w:r>
          </w:p>
        </w:tc>
        <w:tc>
          <w:tcPr>
            <w:tcW w:w="479" w:type="pct"/>
            <w:shd w:val="clear" w:color="auto" w:fill="D9D9D9" w:themeFill="background1" w:themeFillShade="D9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B0A" w:rsidRPr="00D540BD" w:rsidTr="00EC0D71">
        <w:trPr>
          <w:trHeight w:val="1128"/>
        </w:trPr>
        <w:tc>
          <w:tcPr>
            <w:tcW w:w="740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Induced Adaptive </w:t>
            </w:r>
          </w:p>
        </w:tc>
        <w:tc>
          <w:tcPr>
            <w:tcW w:w="685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Antibody production Humoral</w:t>
            </w:r>
          </w:p>
        </w:tc>
        <w:tc>
          <w:tcPr>
            <w:tcW w:w="860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Immunization - antibodies IgM and IgG measured by ELISA after 1</w:t>
            </w:r>
            <w:r w:rsidRPr="00D540BD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D540BD">
              <w:rPr>
                <w:rFonts w:ascii="Times New Roman" w:hAnsi="Times New Roman"/>
                <w:sz w:val="18"/>
                <w:szCs w:val="18"/>
              </w:rPr>
              <w:t xml:space="preserve"> and 2</w:t>
            </w:r>
            <w:r w:rsidRPr="00D540BD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D540BD">
              <w:rPr>
                <w:rFonts w:ascii="Times New Roman" w:hAnsi="Times New Roman"/>
                <w:sz w:val="18"/>
                <w:szCs w:val="18"/>
              </w:rPr>
              <w:t xml:space="preserve"> exposure to antigen keyhole limpet </w:t>
            </w:r>
            <w:proofErr w:type="spellStart"/>
            <w:r w:rsidRPr="00D540BD">
              <w:rPr>
                <w:rFonts w:ascii="Times New Roman" w:hAnsi="Times New Roman"/>
                <w:sz w:val="18"/>
                <w:szCs w:val="18"/>
              </w:rPr>
              <w:t>haemocyanin</w:t>
            </w:r>
            <w:proofErr w:type="spellEnd"/>
            <w:r w:rsidRPr="00D540BD">
              <w:rPr>
                <w:rFonts w:ascii="Times New Roman" w:hAnsi="Times New Roman"/>
                <w:sz w:val="18"/>
                <w:szCs w:val="18"/>
              </w:rPr>
              <w:t xml:space="preserve"> (KLH)</w:t>
            </w:r>
          </w:p>
        </w:tc>
        <w:tc>
          <w:tcPr>
            <w:tcW w:w="2236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A protein found in the hemolymph of limpets; therefore a novel noninfectious antigen to avian species. First and second injections measure the primary and secondary antibody response, respectively.</w:t>
            </w:r>
          </w:p>
        </w:tc>
        <w:tc>
          <w:tcPr>
            <w:tcW w:w="479" w:type="pct"/>
            <w:hideMark/>
          </w:tcPr>
          <w:p w:rsidR="00B13B0A" w:rsidRPr="00D540BD" w:rsidRDefault="00B13B0A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40BD">
              <w:rPr>
                <w:rFonts w:ascii="Times New Roman" w:hAnsi="Times New Roman"/>
                <w:sz w:val="18"/>
                <w:szCs w:val="18"/>
              </w:rPr>
              <w:t>Ebel</w:t>
            </w:r>
            <w:proofErr w:type="spellEnd"/>
            <w:r w:rsidRPr="00D540BD">
              <w:rPr>
                <w:rFonts w:ascii="Times New Roman" w:hAnsi="Times New Roman"/>
                <w:sz w:val="18"/>
                <w:szCs w:val="18"/>
              </w:rPr>
              <w:t xml:space="preserve"> et al. 2002; Fassbinder-Orth et al. 2009</w:t>
            </w:r>
          </w:p>
        </w:tc>
      </w:tr>
      <w:tr w:rsidR="00B13B0A" w:rsidRPr="00D540BD" w:rsidTr="00EC0D71">
        <w:trPr>
          <w:trHeight w:val="1128"/>
        </w:trPr>
        <w:tc>
          <w:tcPr>
            <w:tcW w:w="740" w:type="pct"/>
            <w:vMerge w:val="restart"/>
          </w:tcPr>
          <w:p w:rsidR="00B13B0A" w:rsidRPr="00D540BD" w:rsidRDefault="00B13B0A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Other…</w:t>
            </w:r>
          </w:p>
        </w:tc>
        <w:tc>
          <w:tcPr>
            <w:tcW w:w="685" w:type="pct"/>
          </w:tcPr>
          <w:p w:rsidR="00B13B0A" w:rsidRPr="00D540BD" w:rsidRDefault="00B13B0A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Toll-like receptor</w:t>
            </w:r>
          </w:p>
        </w:tc>
        <w:tc>
          <w:tcPr>
            <w:tcW w:w="860" w:type="pct"/>
          </w:tcPr>
          <w:p w:rsidR="00B13B0A" w:rsidRPr="00D540BD" w:rsidRDefault="00B13B0A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Measure before and after injection with LPS</w:t>
            </w:r>
          </w:p>
        </w:tc>
        <w:tc>
          <w:tcPr>
            <w:tcW w:w="2236" w:type="pct"/>
          </w:tcPr>
          <w:p w:rsidR="00B13B0A" w:rsidRPr="00D540BD" w:rsidRDefault="00B13B0A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Mediator(s) of inflammatory response. TLRs are receptors for ‘conserved microbial elements’. Occur primarily on macrophages, dendritic cells and heterophils. Specifically, TLR-2 and 4 are ‘strong instigators of APRs and recognize components of bacteria’.</w:t>
            </w:r>
          </w:p>
        </w:tc>
        <w:tc>
          <w:tcPr>
            <w:tcW w:w="479" w:type="pct"/>
          </w:tcPr>
          <w:p w:rsidR="00B13B0A" w:rsidRPr="00D540BD" w:rsidRDefault="00B13B0A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Martin et al. 2014.</w:t>
            </w:r>
          </w:p>
        </w:tc>
      </w:tr>
      <w:tr w:rsidR="00B13B0A" w:rsidRPr="00D540BD" w:rsidTr="00EC0D71">
        <w:trPr>
          <w:trHeight w:val="1128"/>
        </w:trPr>
        <w:tc>
          <w:tcPr>
            <w:tcW w:w="740" w:type="pct"/>
            <w:vMerge/>
          </w:tcPr>
          <w:p w:rsidR="00B13B0A" w:rsidRDefault="00B13B0A" w:rsidP="00EC0D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B13B0A" w:rsidRDefault="00B13B0A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Cytokines (IL-6)</w:t>
            </w:r>
          </w:p>
        </w:tc>
        <w:tc>
          <w:tcPr>
            <w:tcW w:w="860" w:type="pct"/>
          </w:tcPr>
          <w:p w:rsidR="00B13B0A" w:rsidRPr="00D540BD" w:rsidRDefault="00B13B0A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Measure before and after injection with LPS</w:t>
            </w:r>
          </w:p>
        </w:tc>
        <w:tc>
          <w:tcPr>
            <w:tcW w:w="2236" w:type="pct"/>
          </w:tcPr>
          <w:p w:rsidR="00B13B0A" w:rsidRDefault="00B13B0A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 pro-inflammatory cytokine. It is secreted by T cells and macrophages. IL-6 also plays in mediating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fevor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and the acute phase response.</w:t>
            </w:r>
          </w:p>
        </w:tc>
        <w:tc>
          <w:tcPr>
            <w:tcW w:w="479" w:type="pct"/>
          </w:tcPr>
          <w:p w:rsidR="00B13B0A" w:rsidRPr="00D540BD" w:rsidRDefault="00B13B0A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Martin et al. 2014.</w:t>
            </w:r>
          </w:p>
        </w:tc>
      </w:tr>
    </w:tbl>
    <w:p w:rsidR="00E26B8B" w:rsidRDefault="00E26B8B"/>
    <w:tbl>
      <w:tblPr>
        <w:tblStyle w:val="TableGrid"/>
        <w:tblpPr w:leftFromText="180" w:rightFromText="180" w:vertAnchor="text" w:horzAnchor="margin" w:tblpX="-756" w:tblpY="-225"/>
        <w:tblW w:w="5602" w:type="pct"/>
        <w:tblLayout w:type="fixed"/>
        <w:tblLook w:val="00A0" w:firstRow="1" w:lastRow="0" w:firstColumn="1" w:lastColumn="0" w:noHBand="0" w:noVBand="0"/>
      </w:tblPr>
      <w:tblGrid>
        <w:gridCol w:w="1378"/>
        <w:gridCol w:w="1536"/>
        <w:gridCol w:w="2022"/>
        <w:gridCol w:w="1408"/>
        <w:gridCol w:w="2814"/>
        <w:gridCol w:w="1318"/>
      </w:tblGrid>
      <w:tr w:rsidR="008905E8" w:rsidRPr="00D540BD" w:rsidTr="008905E8">
        <w:trPr>
          <w:trHeight w:val="360"/>
        </w:trPr>
        <w:tc>
          <w:tcPr>
            <w:tcW w:w="658" w:type="pct"/>
            <w:hideMark/>
          </w:tcPr>
          <w:p w:rsidR="00404F76" w:rsidRPr="00B13B0A" w:rsidRDefault="00404F76" w:rsidP="00EC0D7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3B0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Immune defense measured</w:t>
            </w:r>
          </w:p>
        </w:tc>
        <w:tc>
          <w:tcPr>
            <w:tcW w:w="733" w:type="pct"/>
            <w:hideMark/>
          </w:tcPr>
          <w:p w:rsidR="00404F76" w:rsidRPr="00B13B0A" w:rsidRDefault="00404F76" w:rsidP="00EC0D7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3B0A">
              <w:rPr>
                <w:rFonts w:ascii="Times New Roman" w:hAnsi="Times New Roman"/>
                <w:b/>
                <w:sz w:val="18"/>
                <w:szCs w:val="18"/>
              </w:rPr>
              <w:t>Component</w:t>
            </w:r>
          </w:p>
        </w:tc>
        <w:tc>
          <w:tcPr>
            <w:tcW w:w="965" w:type="pct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b/>
                <w:bCs/>
                <w:sz w:val="18"/>
                <w:szCs w:val="18"/>
              </w:rPr>
              <w:t>Assay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name</w:t>
            </w:r>
          </w:p>
        </w:tc>
        <w:tc>
          <w:tcPr>
            <w:tcW w:w="672" w:type="pct"/>
          </w:tcPr>
          <w:p w:rsidR="00404F76" w:rsidRPr="00F75158" w:rsidRDefault="00404F76" w:rsidP="00EC0D71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5158">
              <w:rPr>
                <w:rFonts w:ascii="Times New Roman" w:hAnsi="Times New Roman"/>
                <w:b/>
                <w:sz w:val="18"/>
                <w:szCs w:val="18"/>
              </w:rPr>
              <w:t>Amount of blood/plasma needed</w:t>
            </w:r>
          </w:p>
        </w:tc>
        <w:tc>
          <w:tcPr>
            <w:tcW w:w="1343" w:type="pct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Technique/Materials</w:t>
            </w:r>
          </w:p>
        </w:tc>
        <w:tc>
          <w:tcPr>
            <w:tcW w:w="629" w:type="pct"/>
          </w:tcPr>
          <w:p w:rsidR="00404F76" w:rsidRDefault="00404F76" w:rsidP="00EC0D7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Protocol available</w:t>
            </w:r>
          </w:p>
        </w:tc>
      </w:tr>
      <w:tr w:rsidR="008905E8" w:rsidRPr="00D540BD" w:rsidTr="008905E8">
        <w:trPr>
          <w:trHeight w:val="1394"/>
        </w:trPr>
        <w:tc>
          <w:tcPr>
            <w:tcW w:w="658" w:type="pct"/>
            <w:vMerge w:val="restart"/>
            <w:shd w:val="clear" w:color="auto" w:fill="D9D9D9" w:themeFill="background1" w:themeFillShade="D9"/>
            <w:hideMark/>
          </w:tcPr>
          <w:p w:rsidR="00404F76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Constitutive Innate </w:t>
            </w:r>
          </w:p>
          <w:p w:rsidR="00404F76" w:rsidRPr="004112EA" w:rsidRDefault="00404F76" w:rsidP="00EC0D7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12EA">
              <w:rPr>
                <w:rFonts w:ascii="Times New Roman" w:hAnsi="Times New Roman"/>
                <w:i/>
                <w:sz w:val="18"/>
                <w:szCs w:val="18"/>
              </w:rPr>
              <w:t>BASELINE</w:t>
            </w:r>
          </w:p>
        </w:tc>
        <w:tc>
          <w:tcPr>
            <w:tcW w:w="733" w:type="pct"/>
            <w:shd w:val="clear" w:color="auto" w:fill="D9D9D9" w:themeFill="background1" w:themeFillShade="D9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NAb</w:t>
            </w:r>
            <w:proofErr w:type="spellEnd"/>
            <w:r w:rsidRPr="00D540BD">
              <w:rPr>
                <w:rFonts w:ascii="Times New Roman" w:hAnsi="Times New Roman"/>
                <w:sz w:val="18"/>
                <w:szCs w:val="18"/>
              </w:rPr>
              <w:t xml:space="preserve"> – Complement activity</w:t>
            </w:r>
          </w:p>
        </w:tc>
        <w:tc>
          <w:tcPr>
            <w:tcW w:w="965" w:type="pct"/>
            <w:shd w:val="clear" w:color="auto" w:fill="D9D9D9" w:themeFill="background1" w:themeFillShade="D9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Hemolysis-Hemagglutination 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404F76" w:rsidRPr="00D540BD" w:rsidRDefault="0042244E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20-50ul plasma</w:t>
            </w:r>
          </w:p>
        </w:tc>
        <w:tc>
          <w:tcPr>
            <w:tcW w:w="1343" w:type="pct"/>
            <w:shd w:val="clear" w:color="auto" w:fill="D9D9D9" w:themeFill="background1" w:themeFillShade="D9"/>
            <w:hideMark/>
          </w:tcPr>
          <w:p w:rsidR="00404F76" w:rsidRPr="00D540BD" w:rsidRDefault="0042244E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Amount of plasma depends on the protocol used, but would need to be consistent throughout the study.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404F76" w:rsidRPr="00D540BD" w:rsidRDefault="0042244E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Yes, but need to </w:t>
            </w:r>
            <w:r w:rsidR="002A7C1D">
              <w:rPr>
                <w:rFonts w:ascii="Times New Roman" w:hAnsi="Times New Roman"/>
                <w:sz w:val="18"/>
                <w:szCs w:val="18"/>
              </w:rPr>
              <w:t>optimize</w:t>
            </w:r>
          </w:p>
        </w:tc>
      </w:tr>
      <w:tr w:rsidR="008905E8" w:rsidRPr="00D540BD" w:rsidTr="008905E8">
        <w:trPr>
          <w:trHeight w:val="710"/>
        </w:trPr>
        <w:tc>
          <w:tcPr>
            <w:tcW w:w="658" w:type="pct"/>
            <w:vMerge/>
            <w:shd w:val="clear" w:color="auto" w:fill="D9D9D9" w:themeFill="background1" w:themeFillShade="D9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D9D9D9" w:themeFill="background1" w:themeFillShade="D9"/>
            <w:hideMark/>
          </w:tcPr>
          <w:p w:rsidR="00404F76" w:rsidRPr="0080289B" w:rsidRDefault="00404F76" w:rsidP="00EC0D71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Complement activity</w:t>
            </w:r>
          </w:p>
        </w:tc>
        <w:tc>
          <w:tcPr>
            <w:tcW w:w="965" w:type="pct"/>
            <w:shd w:val="clear" w:color="auto" w:fill="D9D9D9" w:themeFill="background1" w:themeFillShade="D9"/>
            <w:hideMark/>
          </w:tcPr>
          <w:p w:rsidR="00404F76" w:rsidRPr="0080289B" w:rsidRDefault="00404F76" w:rsidP="00EC0D71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Complement-mediated lysis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404F76" w:rsidRPr="0080289B" w:rsidRDefault="00C71C8E" w:rsidP="00EC0D71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10-20ul</w:t>
            </w:r>
            <w:r w:rsidR="004365FB"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plasma</w:t>
            </w:r>
          </w:p>
        </w:tc>
        <w:tc>
          <w:tcPr>
            <w:tcW w:w="1343" w:type="pct"/>
            <w:shd w:val="clear" w:color="auto" w:fill="D9D9D9" w:themeFill="background1" w:themeFillShade="D9"/>
            <w:hideMark/>
          </w:tcPr>
          <w:p w:rsidR="00404F76" w:rsidRPr="0080289B" w:rsidRDefault="00C71C8E" w:rsidP="00EC0D71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Would want to run as many samples as possible within 2week time span as Rabbit RBC’s expire in 2 weeks and are expensive.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404F76" w:rsidRPr="0080289B" w:rsidRDefault="00C71C8E" w:rsidP="00EC0D7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Yes, but need to </w:t>
            </w:r>
            <w:r w:rsidR="002A7C1D"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optimize</w:t>
            </w:r>
          </w:p>
        </w:tc>
      </w:tr>
      <w:tr w:rsidR="008905E8" w:rsidRPr="00D540BD" w:rsidTr="008905E8">
        <w:trPr>
          <w:trHeight w:val="719"/>
        </w:trPr>
        <w:tc>
          <w:tcPr>
            <w:tcW w:w="658" w:type="pct"/>
            <w:vMerge/>
            <w:shd w:val="clear" w:color="auto" w:fill="D9D9D9" w:themeFill="background1" w:themeFillShade="D9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D9D9D9" w:themeFill="background1" w:themeFillShade="D9"/>
            <w:hideMark/>
          </w:tcPr>
          <w:p w:rsidR="00404F76" w:rsidRPr="0080289B" w:rsidRDefault="00404F76" w:rsidP="00EC0D71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White blood cell counts (differentials)</w:t>
            </w:r>
          </w:p>
        </w:tc>
        <w:tc>
          <w:tcPr>
            <w:tcW w:w="965" w:type="pct"/>
            <w:shd w:val="clear" w:color="auto" w:fill="D9D9D9" w:themeFill="background1" w:themeFillShade="D9"/>
            <w:hideMark/>
          </w:tcPr>
          <w:p w:rsidR="00404F76" w:rsidRPr="0080289B" w:rsidRDefault="00404F76" w:rsidP="00EC0D71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Blood smears 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404F76" w:rsidRPr="0080289B" w:rsidRDefault="00404F76" w:rsidP="00F75158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Maybe 5ul </w:t>
            </w:r>
            <w:r w:rsidR="008905E8"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whole blood</w:t>
            </w:r>
          </w:p>
        </w:tc>
        <w:tc>
          <w:tcPr>
            <w:tcW w:w="1343" w:type="pct"/>
            <w:shd w:val="clear" w:color="auto" w:fill="D9D9D9" w:themeFill="background1" w:themeFillShade="D9"/>
            <w:hideMark/>
          </w:tcPr>
          <w:p w:rsidR="00404F76" w:rsidRPr="0080289B" w:rsidRDefault="00404F76" w:rsidP="00EC0D71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Tap a dot of blood onto the microscope slide prior to spinning down. Stain with Giemsa.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404F76" w:rsidRPr="0080289B" w:rsidRDefault="00C71C8E" w:rsidP="00EC0D7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28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8905E8" w:rsidRPr="00D540BD" w:rsidTr="008905E8">
        <w:trPr>
          <w:trHeight w:val="1080"/>
        </w:trPr>
        <w:tc>
          <w:tcPr>
            <w:tcW w:w="658" w:type="pct"/>
            <w:vMerge/>
            <w:shd w:val="clear" w:color="auto" w:fill="D9D9D9" w:themeFill="background1" w:themeFillShade="D9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D9D9D9" w:themeFill="background1" w:themeFillShade="D9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Plasma lysozyme </w:t>
            </w:r>
          </w:p>
        </w:tc>
        <w:tc>
          <w:tcPr>
            <w:tcW w:w="965" w:type="pct"/>
            <w:shd w:val="clear" w:color="auto" w:fill="D9D9D9" w:themeFill="background1" w:themeFillShade="D9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Optical density measurements of the antimicrobial activity of plasma lysozyme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404F76" w:rsidRPr="00D540BD" w:rsidRDefault="00151804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10ul in duplicate=20ul</w:t>
            </w:r>
            <w:r w:rsidR="004365FB">
              <w:rPr>
                <w:rFonts w:ascii="Times New Roman" w:hAnsi="Times New Roman"/>
                <w:sz w:val="18"/>
                <w:szCs w:val="18"/>
              </w:rPr>
              <w:t xml:space="preserve"> plasma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404F76" w:rsidRPr="00D540BD" w:rsidRDefault="00CA41BD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‘Read out’ clarity (killing of the lysozyme) vs. opacity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unkilled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bacteria) is somewhat subjective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404F76" w:rsidRPr="00D540BD" w:rsidRDefault="00F953A4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</w:tr>
      <w:tr w:rsidR="008905E8" w:rsidRPr="00D540BD" w:rsidTr="008905E8">
        <w:trPr>
          <w:trHeight w:val="1080"/>
        </w:trPr>
        <w:tc>
          <w:tcPr>
            <w:tcW w:w="658" w:type="pct"/>
            <w:vMerge/>
            <w:shd w:val="clear" w:color="auto" w:fill="D9D9D9" w:themeFill="background1" w:themeFillShade="D9"/>
          </w:tcPr>
          <w:p w:rsidR="00404F76" w:rsidRPr="00D540BD" w:rsidRDefault="00404F76" w:rsidP="00EC0D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D9D9D9" w:themeFill="background1" w:themeFillShade="D9"/>
          </w:tcPr>
          <w:p w:rsidR="00404F76" w:rsidRPr="00D540BD" w:rsidRDefault="00404F76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Bacterial killing ability</w:t>
            </w:r>
          </w:p>
        </w:tc>
        <w:tc>
          <w:tcPr>
            <w:tcW w:w="965" w:type="pct"/>
            <w:shd w:val="clear" w:color="auto" w:fill="D9D9D9" w:themeFill="background1" w:themeFillShade="D9"/>
          </w:tcPr>
          <w:p w:rsidR="00404F76" w:rsidRPr="00D540BD" w:rsidRDefault="00404F76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Bacterial killing assay (BKA)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404F76" w:rsidRPr="00D540BD" w:rsidRDefault="00F953A4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10-15ul</w:t>
            </w:r>
            <w:r w:rsidR="003138BD">
              <w:rPr>
                <w:rFonts w:ascii="Times New Roman" w:hAnsi="Times New Roman"/>
                <w:sz w:val="18"/>
                <w:szCs w:val="18"/>
              </w:rPr>
              <w:t xml:space="preserve"> whole blood or plasma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404F76" w:rsidRDefault="00F953A4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Would take some time to optimize, but not impossible. Would also need to determine which ‘type’ we want to use as some BKAs are simpler than others.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404F76" w:rsidRDefault="00F953A4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Yes, but need to </w:t>
            </w:r>
            <w:r w:rsidR="002A7C1D">
              <w:rPr>
                <w:rFonts w:ascii="Times New Roman" w:hAnsi="Times New Roman"/>
                <w:sz w:val="18"/>
                <w:szCs w:val="18"/>
              </w:rPr>
              <w:t>optimize</w:t>
            </w:r>
          </w:p>
        </w:tc>
      </w:tr>
      <w:tr w:rsidR="008905E8" w:rsidRPr="00D540BD" w:rsidTr="008905E8">
        <w:trPr>
          <w:trHeight w:val="1142"/>
        </w:trPr>
        <w:tc>
          <w:tcPr>
            <w:tcW w:w="658" w:type="pct"/>
            <w:vMerge w:val="restart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Induced Innate</w:t>
            </w:r>
          </w:p>
        </w:tc>
        <w:tc>
          <w:tcPr>
            <w:tcW w:w="733" w:type="pct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Acute phase response Fever</w:t>
            </w:r>
          </w:p>
        </w:tc>
        <w:tc>
          <w:tcPr>
            <w:tcW w:w="965" w:type="pct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Cloacal temperature following injection with lipopolysaccharide (LPS)</w:t>
            </w:r>
          </w:p>
        </w:tc>
        <w:tc>
          <w:tcPr>
            <w:tcW w:w="672" w:type="pct"/>
          </w:tcPr>
          <w:p w:rsidR="00404F76" w:rsidRPr="00D540BD" w:rsidRDefault="002A7C1D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343" w:type="pct"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404F76" w:rsidRPr="00D540BD" w:rsidRDefault="00F953A4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</w:tr>
      <w:tr w:rsidR="008905E8" w:rsidRPr="00D540BD" w:rsidTr="008905E8">
        <w:trPr>
          <w:trHeight w:val="1032"/>
        </w:trPr>
        <w:tc>
          <w:tcPr>
            <w:tcW w:w="658" w:type="pct"/>
            <w:vMerge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Acute phase protein-Haptoglobin</w:t>
            </w:r>
          </w:p>
        </w:tc>
        <w:tc>
          <w:tcPr>
            <w:tcW w:w="965" w:type="pct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Plasma haptoglobin or mannan-binding protein following injection with LPS</w:t>
            </w:r>
          </w:p>
        </w:tc>
        <w:tc>
          <w:tcPr>
            <w:tcW w:w="672" w:type="pct"/>
          </w:tcPr>
          <w:p w:rsidR="00404F76" w:rsidRPr="00D540BD" w:rsidRDefault="002A7C1D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</w:t>
            </w:r>
            <w:r>
              <w:rPr>
                <w:rFonts w:ascii="Times New Roman" w:hAnsi="Times New Roman"/>
                <w:sz w:val="18"/>
                <w:szCs w:val="18"/>
              </w:rPr>
              <w:t>ul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(should run in duplicate/triplicate)</w:t>
            </w:r>
          </w:p>
        </w:tc>
        <w:tc>
          <w:tcPr>
            <w:tcW w:w="1343" w:type="pct"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404F76" w:rsidRPr="00D540BD" w:rsidRDefault="00F953A4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</w:tr>
      <w:tr w:rsidR="008905E8" w:rsidRPr="00D540BD" w:rsidTr="008905E8">
        <w:trPr>
          <w:trHeight w:val="674"/>
        </w:trPr>
        <w:tc>
          <w:tcPr>
            <w:tcW w:w="658" w:type="pct"/>
            <w:shd w:val="clear" w:color="auto" w:fill="D9D9D9" w:themeFill="background1" w:themeFillShade="D9"/>
            <w:hideMark/>
          </w:tcPr>
          <w:p w:rsidR="00404F76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Constitutive Adaptive</w:t>
            </w:r>
          </w:p>
          <w:p w:rsidR="00404F76" w:rsidRPr="004112EA" w:rsidRDefault="00404F76" w:rsidP="00EC0D7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112EA">
              <w:rPr>
                <w:rFonts w:ascii="Times New Roman" w:hAnsi="Times New Roman"/>
                <w:i/>
                <w:sz w:val="18"/>
                <w:szCs w:val="18"/>
              </w:rPr>
              <w:t>BASELINE</w:t>
            </w:r>
          </w:p>
        </w:tc>
        <w:tc>
          <w:tcPr>
            <w:tcW w:w="733" w:type="pct"/>
            <w:shd w:val="clear" w:color="auto" w:fill="D9D9D9" w:themeFill="background1" w:themeFillShade="D9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Total IgG</w:t>
            </w:r>
          </w:p>
        </w:tc>
        <w:tc>
          <w:tcPr>
            <w:tcW w:w="965" w:type="pct"/>
            <w:shd w:val="clear" w:color="auto" w:fill="D9D9D9" w:themeFill="background1" w:themeFillShade="D9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IgG Elisa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404F76" w:rsidRPr="00D540BD" w:rsidRDefault="003138BD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5-10ul plasma</w:t>
            </w:r>
          </w:p>
        </w:tc>
        <w:tc>
          <w:tcPr>
            <w:tcW w:w="1343" w:type="pct"/>
            <w:shd w:val="clear" w:color="auto" w:fill="D9D9D9" w:themeFill="background1" w:themeFillShade="D9"/>
          </w:tcPr>
          <w:p w:rsidR="00404F76" w:rsidRPr="00D540BD" w:rsidRDefault="006B4BAD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Prepare plate overnight and then a few hour-long incubations. 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:rsidR="00404F76" w:rsidRPr="00D540BD" w:rsidRDefault="0042244E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</w:tr>
      <w:tr w:rsidR="008905E8" w:rsidRPr="00D540BD" w:rsidTr="008905E8">
        <w:trPr>
          <w:trHeight w:val="1128"/>
        </w:trPr>
        <w:tc>
          <w:tcPr>
            <w:tcW w:w="658" w:type="pct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 xml:space="preserve">Induced Adaptive </w:t>
            </w:r>
          </w:p>
        </w:tc>
        <w:tc>
          <w:tcPr>
            <w:tcW w:w="733" w:type="pct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Antibody production Humoral</w:t>
            </w:r>
          </w:p>
        </w:tc>
        <w:tc>
          <w:tcPr>
            <w:tcW w:w="965" w:type="pct"/>
            <w:hideMark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540BD">
              <w:rPr>
                <w:rFonts w:ascii="Times New Roman" w:hAnsi="Times New Roman"/>
                <w:sz w:val="18"/>
                <w:szCs w:val="18"/>
              </w:rPr>
              <w:t>Immunization - antibodies IgM and IgG measured by ELISA after 1</w:t>
            </w:r>
            <w:r w:rsidRPr="00D540BD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D540BD">
              <w:rPr>
                <w:rFonts w:ascii="Times New Roman" w:hAnsi="Times New Roman"/>
                <w:sz w:val="18"/>
                <w:szCs w:val="18"/>
              </w:rPr>
              <w:t xml:space="preserve"> and 2</w:t>
            </w:r>
            <w:r w:rsidRPr="00D540BD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Pr="00D540BD">
              <w:rPr>
                <w:rFonts w:ascii="Times New Roman" w:hAnsi="Times New Roman"/>
                <w:sz w:val="18"/>
                <w:szCs w:val="18"/>
              </w:rPr>
              <w:t xml:space="preserve"> exposure to antigen keyhole limpet </w:t>
            </w:r>
            <w:proofErr w:type="spellStart"/>
            <w:r w:rsidRPr="00D540BD">
              <w:rPr>
                <w:rFonts w:ascii="Times New Roman" w:hAnsi="Times New Roman"/>
                <w:sz w:val="18"/>
                <w:szCs w:val="18"/>
              </w:rPr>
              <w:t>haemocyanin</w:t>
            </w:r>
            <w:proofErr w:type="spellEnd"/>
            <w:r w:rsidRPr="00D540BD">
              <w:rPr>
                <w:rFonts w:ascii="Times New Roman" w:hAnsi="Times New Roman"/>
                <w:sz w:val="18"/>
                <w:szCs w:val="18"/>
              </w:rPr>
              <w:t xml:space="preserve"> (KLH)</w:t>
            </w:r>
          </w:p>
        </w:tc>
        <w:tc>
          <w:tcPr>
            <w:tcW w:w="672" w:type="pct"/>
          </w:tcPr>
          <w:p w:rsidR="00404F76" w:rsidRPr="00D540BD" w:rsidRDefault="00293E82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Minimal (2-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ul)</w:t>
            </w:r>
          </w:p>
        </w:tc>
        <w:tc>
          <w:tcPr>
            <w:tcW w:w="1343" w:type="pct"/>
          </w:tcPr>
          <w:p w:rsidR="00404F76" w:rsidRPr="00D540BD" w:rsidRDefault="00404F76" w:rsidP="00EC0D7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404F76" w:rsidRPr="00D540BD" w:rsidRDefault="006F335E" w:rsidP="00EC0D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</w:tr>
      <w:tr w:rsidR="008905E8" w:rsidRPr="00D540BD" w:rsidTr="008905E8">
        <w:trPr>
          <w:trHeight w:val="1128"/>
        </w:trPr>
        <w:tc>
          <w:tcPr>
            <w:tcW w:w="658" w:type="pct"/>
            <w:vMerge w:val="restart"/>
          </w:tcPr>
          <w:p w:rsidR="008905E8" w:rsidRPr="00D540BD" w:rsidRDefault="008905E8" w:rsidP="008905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Other…</w:t>
            </w:r>
          </w:p>
        </w:tc>
        <w:tc>
          <w:tcPr>
            <w:tcW w:w="733" w:type="pct"/>
          </w:tcPr>
          <w:p w:rsidR="008905E8" w:rsidRPr="00D540BD" w:rsidRDefault="008905E8" w:rsidP="008905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Toll-like receptor</w:t>
            </w:r>
          </w:p>
        </w:tc>
        <w:tc>
          <w:tcPr>
            <w:tcW w:w="965" w:type="pct"/>
          </w:tcPr>
          <w:p w:rsidR="008905E8" w:rsidRPr="00D540BD" w:rsidRDefault="00A40F55" w:rsidP="008905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PCR</w:t>
            </w:r>
          </w:p>
        </w:tc>
        <w:tc>
          <w:tcPr>
            <w:tcW w:w="672" w:type="pct"/>
          </w:tcPr>
          <w:p w:rsidR="008905E8" w:rsidRPr="00D540BD" w:rsidRDefault="006F335E" w:rsidP="008905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Minimal (2-6</w:t>
            </w:r>
            <w:r>
              <w:rPr>
                <w:rFonts w:ascii="Times New Roman" w:hAnsi="Times New Roman"/>
                <w:sz w:val="18"/>
                <w:szCs w:val="18"/>
              </w:rPr>
              <w:t>ul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43" w:type="pct"/>
          </w:tcPr>
          <w:p w:rsidR="008905E8" w:rsidRPr="00D540BD" w:rsidRDefault="008905E8" w:rsidP="008905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Measure before and after injection with LPS</w:t>
            </w:r>
          </w:p>
        </w:tc>
        <w:tc>
          <w:tcPr>
            <w:tcW w:w="629" w:type="pct"/>
          </w:tcPr>
          <w:p w:rsidR="008905E8" w:rsidRPr="00D540BD" w:rsidRDefault="008905E8" w:rsidP="008905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05E8" w:rsidRPr="00D540BD" w:rsidTr="008905E8">
        <w:trPr>
          <w:trHeight w:val="1128"/>
        </w:trPr>
        <w:tc>
          <w:tcPr>
            <w:tcW w:w="658" w:type="pct"/>
            <w:vMerge/>
          </w:tcPr>
          <w:p w:rsidR="008905E8" w:rsidRDefault="008905E8" w:rsidP="008905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8905E8" w:rsidRDefault="008905E8" w:rsidP="008905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Cytokines (IL-6)</w:t>
            </w:r>
          </w:p>
        </w:tc>
        <w:tc>
          <w:tcPr>
            <w:tcW w:w="965" w:type="pct"/>
          </w:tcPr>
          <w:p w:rsidR="008905E8" w:rsidRPr="00D540BD" w:rsidRDefault="00A40F55" w:rsidP="008905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PCR</w:t>
            </w:r>
          </w:p>
        </w:tc>
        <w:tc>
          <w:tcPr>
            <w:tcW w:w="672" w:type="pct"/>
          </w:tcPr>
          <w:p w:rsidR="008905E8" w:rsidRDefault="006F335E" w:rsidP="008905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Minimal </w:t>
            </w:r>
            <w:r>
              <w:rPr>
                <w:rFonts w:ascii="Times New Roman" w:hAnsi="Times New Roman"/>
                <w:sz w:val="18"/>
                <w:szCs w:val="18"/>
              </w:rPr>
              <w:t>(2</w:t>
            </w:r>
            <w:r>
              <w:rPr>
                <w:rFonts w:ascii="Times New Roman" w:hAnsi="Times New Roman"/>
                <w:sz w:val="18"/>
                <w:szCs w:val="18"/>
              </w:rPr>
              <w:t>-6</w:t>
            </w:r>
            <w:r>
              <w:rPr>
                <w:rFonts w:ascii="Times New Roman" w:hAnsi="Times New Roman"/>
                <w:sz w:val="18"/>
                <w:szCs w:val="18"/>
              </w:rPr>
              <w:t>ul)</w:t>
            </w:r>
          </w:p>
        </w:tc>
        <w:tc>
          <w:tcPr>
            <w:tcW w:w="1343" w:type="pct"/>
          </w:tcPr>
          <w:p w:rsidR="008905E8" w:rsidRPr="00D540BD" w:rsidRDefault="008905E8" w:rsidP="008905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Measure before and after injection with LPS</w:t>
            </w:r>
          </w:p>
        </w:tc>
        <w:tc>
          <w:tcPr>
            <w:tcW w:w="629" w:type="pct"/>
          </w:tcPr>
          <w:p w:rsidR="008905E8" w:rsidRPr="00D540BD" w:rsidRDefault="008905E8" w:rsidP="008905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5158" w:rsidRDefault="00F75158"/>
    <w:sectPr w:rsidR="00F7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0A"/>
    <w:rsid w:val="000E4ED8"/>
    <w:rsid w:val="00151804"/>
    <w:rsid w:val="00197AE7"/>
    <w:rsid w:val="00293E82"/>
    <w:rsid w:val="002A7C1D"/>
    <w:rsid w:val="003138BD"/>
    <w:rsid w:val="00404F76"/>
    <w:rsid w:val="004112EA"/>
    <w:rsid w:val="0042244E"/>
    <w:rsid w:val="004365FB"/>
    <w:rsid w:val="004A7C6F"/>
    <w:rsid w:val="00574D1C"/>
    <w:rsid w:val="006B4BAD"/>
    <w:rsid w:val="006F335E"/>
    <w:rsid w:val="007B3B7B"/>
    <w:rsid w:val="0080289B"/>
    <w:rsid w:val="008905E8"/>
    <w:rsid w:val="00A40F55"/>
    <w:rsid w:val="00A4694D"/>
    <w:rsid w:val="00B13B0A"/>
    <w:rsid w:val="00B93384"/>
    <w:rsid w:val="00C71C8E"/>
    <w:rsid w:val="00CA41BD"/>
    <w:rsid w:val="00D75DBE"/>
    <w:rsid w:val="00E26B8B"/>
    <w:rsid w:val="00F75158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CB46"/>
  <w15:docId w15:val="{1E28B279-C242-AE45-85E3-E3F78273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B0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3B0A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Cornelius</dc:creator>
  <cp:lastModifiedBy>Ruhs, Emily</cp:lastModifiedBy>
  <cp:revision>7</cp:revision>
  <dcterms:created xsi:type="dcterms:W3CDTF">2020-06-16T18:40:00Z</dcterms:created>
  <dcterms:modified xsi:type="dcterms:W3CDTF">2020-06-16T18:46:00Z</dcterms:modified>
</cp:coreProperties>
</file>